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91"/>
      </w:tblGrid>
      <w:tr w:rsidR="00DF66B0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ANALISI PROGRAMMA ANNUALE</w:t>
            </w:r>
          </w:p>
        </w:tc>
      </w:tr>
      <w:tr w:rsidR="00DF66B0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F66B0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VERBALE N. ......./....</w:t>
            </w:r>
          </w:p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F66B0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Presso l'istituto </w:t>
            </w:r>
            <w:r w:rsidR="00F36599">
              <w:rPr>
                <w:rFonts w:ascii="Times New Roman" w:hAnsi="Times New Roman"/>
                <w:color w:val="000000"/>
              </w:rPr>
              <w:t>C.P.I.A.</w:t>
            </w:r>
            <w:r>
              <w:rPr>
                <w:rFonts w:ascii="Times New Roman" w:hAnsi="Times New Roman"/>
                <w:color w:val="000000"/>
              </w:rPr>
              <w:t xml:space="preserve"> di </w:t>
            </w:r>
            <w:r w:rsidR="00F36599">
              <w:rPr>
                <w:rFonts w:ascii="Times New Roman" w:hAnsi="Times New Roman"/>
                <w:color w:val="000000"/>
              </w:rPr>
              <w:t>Cremona</w:t>
            </w:r>
            <w:r>
              <w:rPr>
                <w:rFonts w:ascii="Times New Roman" w:hAnsi="Times New Roman"/>
                <w:color w:val="000000"/>
              </w:rPr>
              <w:t>, l'anno ......... il giorno ........., del mese di ........., alle ore ......................., si sono riuniti i Revisori dei Conti dell'ambito ........................</w:t>
            </w:r>
          </w:p>
        </w:tc>
      </w:tr>
      <w:tr w:rsidR="00DF66B0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La riunione si svolge presso ........................</w:t>
            </w:r>
          </w:p>
        </w:tc>
      </w:tr>
      <w:tr w:rsidR="00DF66B0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 Revisori sono:</w:t>
            </w:r>
          </w:p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7"/>
        <w:gridCol w:w="2648"/>
        <w:gridCol w:w="2648"/>
        <w:gridCol w:w="2648"/>
      </w:tblGrid>
      <w:tr w:rsidR="00DF66B0">
        <w:trPr>
          <w:tblHeader/>
          <w:jc w:val="center"/>
        </w:trPr>
        <w:tc>
          <w:tcPr>
            <w:tcW w:w="26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Nome </w:t>
            </w:r>
          </w:p>
        </w:tc>
        <w:tc>
          <w:tcPr>
            <w:tcW w:w="26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Cognome </w:t>
            </w:r>
          </w:p>
        </w:tc>
        <w:tc>
          <w:tcPr>
            <w:tcW w:w="26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Rappresentanza </w:t>
            </w:r>
          </w:p>
        </w:tc>
        <w:tc>
          <w:tcPr>
            <w:tcW w:w="26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Assenza/Presenza </w:t>
            </w:r>
          </w:p>
        </w:tc>
      </w:tr>
      <w:tr w:rsidR="00DF66B0">
        <w:trPr>
          <w:tblHeader/>
          <w:jc w:val="center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.........................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.........................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Ministero dell'Economia e delle Finanze (MEF)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Presente</w:t>
            </w:r>
          </w:p>
        </w:tc>
      </w:tr>
      <w:tr w:rsidR="00DF66B0">
        <w:trPr>
          <w:jc w:val="center"/>
        </w:trPr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.........................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.........................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Ministero dell'Istruzione, dell'Università e della Ricerca (MIUR)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Presente</w:t>
            </w:r>
          </w:p>
        </w:tc>
      </w:tr>
    </w:tbl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91"/>
      </w:tblGrid>
      <w:tr w:rsidR="00DF66B0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DF66B0" w:rsidRDefault="00DF66B0" w:rsidP="00C44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I Revisori si riuniscono per l'esame del Programma annuale </w:t>
            </w:r>
            <w:r w:rsidR="00A807DE">
              <w:rPr>
                <w:rFonts w:ascii="Times New Roman" w:hAnsi="Times New Roman"/>
                <w:b/>
                <w:color w:val="FF0000"/>
              </w:rPr>
              <w:t>202</w:t>
            </w:r>
            <w:r w:rsidR="00C44347">
              <w:rPr>
                <w:rFonts w:ascii="Times New Roman" w:hAnsi="Times New Roman"/>
                <w:b/>
                <w:color w:val="FF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 xml:space="preserve"> ai sensi dell'art. 51, comma 1 del Regolamento amministrativo-contabile recato dal D.I. 28 agosto 2018, n. 129 e procedono, pertanto, allo svolgimento dei seguenti controlli:</w:t>
            </w:r>
          </w:p>
        </w:tc>
      </w:tr>
    </w:tbl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Anagrafica</w:t>
      </w:r>
    </w:p>
    <w:p w:rsidR="00DF66B0" w:rsidRDefault="00DF66B0">
      <w:pPr>
        <w:widowControl w:val="0"/>
        <w:numPr>
          <w:ilvl w:val="0"/>
          <w:numId w:val="1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Osservanza norme regolamentari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Programma Annuale (Mod. A)</w:t>
      </w:r>
    </w:p>
    <w:p w:rsidR="00DF66B0" w:rsidRDefault="00DF66B0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Esame relazione illustrativa predisposta dal dirigente scolastico</w:t>
      </w:r>
    </w:p>
    <w:p w:rsidR="00DF66B0" w:rsidRDefault="00DF66B0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Correttezza modelli</w:t>
      </w:r>
    </w:p>
    <w:p w:rsidR="00DF66B0" w:rsidRDefault="00DF66B0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Conformità ai principi di bilancio di cui all'art. 2 del regolamento</w:t>
      </w:r>
    </w:p>
    <w:p w:rsidR="00DF66B0" w:rsidRDefault="00DF66B0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Corretta stima dell'avanzo di amministrazione</w:t>
      </w:r>
    </w:p>
    <w:p w:rsidR="00DF66B0" w:rsidRDefault="00DF66B0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Coerenza tra i dati previsionali di spesa del Mod. A e la somma dei dati delle schede finanziarie Mod. B</w:t>
      </w:r>
    </w:p>
    <w:p w:rsidR="00DF66B0" w:rsidRDefault="00DF66B0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Pareggio Entrate/Spese per attività e progetti</w:t>
      </w:r>
    </w:p>
    <w:p w:rsidR="00DF66B0" w:rsidRDefault="00DF66B0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Esatta determinazione del Fondo di riserva (art. 8, comma 1)</w:t>
      </w:r>
    </w:p>
    <w:p w:rsidR="00DF66B0" w:rsidRDefault="00DF66B0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Attendibilità delle previsioni di entrata e congruità degli stanziamenti di spesa</w:t>
      </w:r>
    </w:p>
    <w:p w:rsidR="00DF66B0" w:rsidRDefault="00DF66B0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Verifica Approvazione PTOF</w:t>
      </w:r>
    </w:p>
    <w:p w:rsidR="00DF66B0" w:rsidRDefault="00DF66B0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Individuazione dell'ammontare del Fondo economale per le minute spese ai sensi dell'art. 21 del regolamento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Utilizzo avanzo di amministrazione presunto (Mod. D)</w:t>
      </w:r>
    </w:p>
    <w:p w:rsidR="00DF66B0" w:rsidRDefault="00DF66B0">
      <w:pPr>
        <w:widowControl w:val="0"/>
        <w:numPr>
          <w:ilvl w:val="0"/>
          <w:numId w:val="3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Rispetto del vincolo di destinazione delle somme vincolate confluite nell'avanzo di amministrazione presunto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Dati Generali </w:t>
      </w:r>
      <w:r w:rsidR="00255E14">
        <w:rPr>
          <w:rFonts w:ascii="Times New Roman" w:hAnsi="Times New Roman"/>
          <w:b/>
          <w:bCs/>
          <w:color w:val="000000"/>
          <w:sz w:val="24"/>
          <w:szCs w:val="24"/>
        </w:rPr>
        <w:t>Centri Provinciali per l’Istruzione degli adulti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- Data di riferimento: 31 ottobre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La struttura delle classi per l'anno scolastico</w:t>
      </w:r>
      <w:r w:rsidR="00255E14">
        <w:rPr>
          <w:rFonts w:ascii="Times New Roman" w:hAnsi="Times New Roman"/>
          <w:color w:val="000000"/>
        </w:rPr>
        <w:t xml:space="preserve"> 2022/2023</w:t>
      </w:r>
      <w:r>
        <w:rPr>
          <w:rFonts w:ascii="Times New Roman" w:hAnsi="Times New Roman"/>
          <w:color w:val="000000"/>
        </w:rPr>
        <w:t xml:space="preserve"> è la seguente:</w:t>
      </w:r>
    </w:p>
    <w:tbl>
      <w:tblPr>
        <w:tblW w:w="69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65"/>
        <w:gridCol w:w="1165"/>
        <w:gridCol w:w="1165"/>
        <w:gridCol w:w="1165"/>
        <w:gridCol w:w="1165"/>
        <w:gridCol w:w="1165"/>
      </w:tblGrid>
      <w:tr w:rsidR="00255E14" w:rsidTr="00255E14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5E14" w:rsidRDefault="0025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Numero classi non terminali (a)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5E14" w:rsidRDefault="0025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Numero classi terminali</w:t>
            </w:r>
          </w:p>
          <w:p w:rsidR="00255E14" w:rsidRDefault="0025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(b)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5E14" w:rsidRDefault="0025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Totale classi (c=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a+b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5E14" w:rsidRDefault="0025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Totale alunni iscritti al 31 ottobre 2022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5E14" w:rsidRDefault="0025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Totale alunni frequentanti (d)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5E14" w:rsidRDefault="0025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Di cui diversamente abili</w:t>
            </w:r>
          </w:p>
        </w:tc>
      </w:tr>
      <w:tr w:rsidR="00255E14" w:rsidTr="00255E14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5E14" w:rsidRDefault="0025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5E14" w:rsidRPr="00C44347" w:rsidRDefault="0025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5E14" w:rsidRPr="00C44347" w:rsidRDefault="0025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5E14" w:rsidRPr="00C44347" w:rsidRDefault="0025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1081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5E14" w:rsidRDefault="0025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1081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5E14" w:rsidRDefault="0025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</w:tbl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br w:type="page"/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br w:type="page"/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Dati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Personale  -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Data di riferimento: 31 ottobre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La situazione del personale docente e ATA (organico di fatto)</w:t>
      </w:r>
      <w:r w:rsidR="009B48E9">
        <w:rPr>
          <w:rFonts w:ascii="Times New Roman" w:hAnsi="Times New Roman"/>
          <w:color w:val="000000"/>
        </w:rPr>
        <w:t xml:space="preserve"> </w:t>
      </w:r>
      <w:proofErr w:type="spellStart"/>
      <w:r w:rsidR="009B48E9">
        <w:rPr>
          <w:rFonts w:ascii="Times New Roman" w:hAnsi="Times New Roman"/>
          <w:color w:val="000000"/>
        </w:rPr>
        <w:t>a.s.</w:t>
      </w:r>
      <w:proofErr w:type="spellEnd"/>
      <w:r w:rsidR="009B48E9">
        <w:rPr>
          <w:rFonts w:ascii="Times New Roman" w:hAnsi="Times New Roman"/>
          <w:color w:val="000000"/>
        </w:rPr>
        <w:t xml:space="preserve"> 2022/2023</w:t>
      </w:r>
      <w:r>
        <w:rPr>
          <w:rFonts w:ascii="Times New Roman" w:hAnsi="Times New Roman"/>
          <w:color w:val="000000"/>
        </w:rPr>
        <w:t xml:space="preserve"> in servizio può così sintetizzarsi: 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473"/>
        <w:gridCol w:w="2118"/>
      </w:tblGrid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DIRIGENTE SCOLASTICO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AB7B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NUMERO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N.B. in presenza di cattedra o posto esterno il docente va rilevato solo dalla scuola di titolarità del posto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Insegnanti titolari a tempo indeterminato full-time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Insegnanti titolari a tempo indeterminato part-time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Insegnanti titolari di sostegno a tempo indeterminato full-time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Insegnanti titolari di sostegno a tempo indeterminato part-time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1E6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Insegnanti su posto normale a tempo determinato con contratto annuale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Insegnanti di sostegno a tempo determinato con contratto annuale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Insegnanti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Insegnanti di sostegno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Insegnanti di religione a tempo indeterminato full-time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1E6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Insegnanti di religione a tempo indeterminato part-time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Insegnanti di religione incaricati annuali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Insegnanti su posto normale con contratto a tempo determinato su spezzone orario*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Insegnanti di sostegno con contratto a tempo determinato su spezzone orario*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*da censire solo presso la 1° scuola che stipula il primo contratto nel caso in cui il docente abbia più spezzoni e quindi abbia stipulato diversi contratti con altrettante scuole.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TOTALE PERSONALE DOCENTE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N.B. il personale ATA va rilevato solo dalla scuola di titolarità del posto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NUMERO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Direttore dei Servizi Generali ed Amministrativi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AB7B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Direttore dei Servizi Generali ed Amministrativi a tempo determinato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Coordinatore Amministrativo e Tecnico e/o Responsabile amministrativo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Assistenti Amministrativi a tempo indeterminato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Assistenti Amministrativi a tempo determinato con contratto annuale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Assistenti Amministrativi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Assistenti Tecnici a tempo indeterminato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Assistenti Tecnici a tempo determinato con contratto annuale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Assistenti Tecnici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C44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Collaboratori scolastici dei servizi a tempo indeterminato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C44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Collaboratori scolastici a tempo indeterminato</w:t>
            </w:r>
            <w:r w:rsidR="00C44347">
              <w:rPr>
                <w:rFonts w:ascii="Times New Roman" w:hAnsi="Times New Roman"/>
                <w:color w:val="000000"/>
              </w:rPr>
              <w:t xml:space="preserve">                  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 w:rsidP="00C44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C44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Collaboratori scolastici a tempo determinato con contratto annuale</w:t>
            </w:r>
            <w:r w:rsidR="00C44347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Collaboratori scolastici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Personale altri profili (guardarobiere, cuoco, infermiere) a tempo indeterminato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Personale altri profili (guardarobiere, cuoco, infermiere) a tempo determinato con contratto annuale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Personale altri profili (guardarobiere, cuoco, infermiere)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A6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Personale ATA a tempo indeterminato part-time</w:t>
            </w:r>
            <w:r w:rsidR="00C44347">
              <w:rPr>
                <w:rFonts w:ascii="Times New Roman" w:hAnsi="Times New Roman"/>
                <w:color w:val="000000"/>
              </w:rPr>
              <w:t xml:space="preserve">    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F66B0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TOTALE PERSONALE ATA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9B4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</w:tr>
    </w:tbl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2750C9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Si rilevano, altresì, n. </w:t>
      </w:r>
      <w:r w:rsidR="00AB7B5C" w:rsidRPr="00AB7B5C">
        <w:rPr>
          <w:rFonts w:ascii="Times New Roman" w:hAnsi="Times New Roman"/>
          <w:b/>
          <w:color w:val="FF0000"/>
        </w:rPr>
        <w:t>0</w:t>
      </w:r>
      <w:r>
        <w:rPr>
          <w:rFonts w:ascii="Times New Roman" w:hAnsi="Times New Roman"/>
          <w:color w:val="000000"/>
        </w:rPr>
        <w:t xml:space="preserve"> unità di personale e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</w:rPr>
        <w:t>straneo</w:t>
      </w:r>
      <w:proofErr w:type="spellEnd"/>
      <w:r>
        <w:rPr>
          <w:rFonts w:ascii="Times New Roman" w:hAnsi="Times New Roman"/>
          <w:color w:val="000000"/>
        </w:rPr>
        <w:t xml:space="preserve"> all'amministrazione che espleta il servizio di pulizia degli spazi e dei locali ivi compreso quello beneficiario delle disposizioni contemplate dal decreto interministeriale 20 aprile 2001, n. 65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Programma Annuale (Mod. A)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Le previsioni di competenza del programma annuale si sintetizzano nei seguenti dati: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84"/>
        <w:gridCol w:w="3707"/>
      </w:tblGrid>
      <w:tr w:rsidR="00DF66B0" w:rsidTr="00191268">
        <w:trPr>
          <w:jc w:val="center"/>
        </w:trPr>
        <w:tc>
          <w:tcPr>
            <w:tcW w:w="10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ENTRATE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01-Avanzo di amministrazione presunto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7D5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9B48E9">
              <w:rPr>
                <w:rFonts w:ascii="Times New Roman" w:hAnsi="Times New Roman"/>
                <w:color w:val="000000"/>
              </w:rPr>
              <w:t>356.822,54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02-Finanziamenti dall'Unione Europea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191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19126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03-Finanziamenti dello Stato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191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9B48E9">
              <w:rPr>
                <w:rFonts w:ascii="Times New Roman" w:hAnsi="Times New Roman"/>
                <w:color w:val="000000"/>
              </w:rPr>
              <w:t>21.087,03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04-Finanziamenti della Regione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05-Finanziamenti da Enti locali o da altre Istituzioni pubbliche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191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191268">
              <w:rPr>
                <w:rFonts w:ascii="Times New Roman" w:hAnsi="Times New Roman"/>
                <w:color w:val="000000"/>
              </w:rPr>
              <w:t>33.600,00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06-Contributi da privati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275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2750C9">
              <w:rPr>
                <w:rFonts w:ascii="Times New Roman" w:hAnsi="Times New Roman"/>
                <w:color w:val="000000"/>
              </w:rPr>
              <w:t>5.100,00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07-Proventi da gestioni economiche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08-Rimborsi e restituzione somme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09-Alienazione di beni materiali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10-Alienazione di beni immateriali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11-Sponsor e utilizzo locali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12-Altre entrate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13-Mutui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TOTALE ENTRATE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7D5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9B48E9">
              <w:rPr>
                <w:rFonts w:ascii="Times New Roman" w:hAnsi="Times New Roman"/>
                <w:color w:val="000000"/>
              </w:rPr>
              <w:t>377.909,57</w:t>
            </w:r>
          </w:p>
        </w:tc>
      </w:tr>
      <w:tr w:rsidR="00DF66B0" w:rsidTr="00191268">
        <w:trPr>
          <w:jc w:val="center"/>
        </w:trPr>
        <w:tc>
          <w:tcPr>
            <w:tcW w:w="10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SPESE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Attività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Pr="00191268" w:rsidRDefault="00DF66B0" w:rsidP="007D5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1268">
              <w:rPr>
                <w:rFonts w:ascii="Times New Roman" w:hAnsi="Times New Roman"/>
                <w:b/>
                <w:color w:val="000000"/>
              </w:rPr>
              <w:t xml:space="preserve">€ </w:t>
            </w:r>
            <w:r w:rsidR="009B48E9">
              <w:rPr>
                <w:rFonts w:ascii="Times New Roman" w:hAnsi="Times New Roman"/>
                <w:b/>
                <w:color w:val="000000"/>
              </w:rPr>
              <w:t>108.734,48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A01-Funzionamento generale e decoro della Scuola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191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DE0202">
              <w:rPr>
                <w:rFonts w:ascii="Times New Roman" w:hAnsi="Times New Roman"/>
                <w:color w:val="000000"/>
              </w:rPr>
              <w:t>3.254,66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A02-Funzionamento amministrativo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191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DE0202">
              <w:rPr>
                <w:rFonts w:ascii="Times New Roman" w:hAnsi="Times New Roman"/>
                <w:color w:val="000000"/>
              </w:rPr>
              <w:t>54.469,78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A03-Didattica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7D5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DE0202">
              <w:rPr>
                <w:rFonts w:ascii="Times New Roman" w:hAnsi="Times New Roman"/>
                <w:color w:val="000000"/>
              </w:rPr>
              <w:t>24.320,24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A04-Alternanza Scuola-Lavoro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275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2750C9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A05-Visite, viaggi e programmi di studio all’estero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DE0202">
              <w:rPr>
                <w:rFonts w:ascii="Times New Roman" w:hAnsi="Times New Roman"/>
                <w:color w:val="000000"/>
              </w:rPr>
              <w:t>26.689,80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A06-Attività di orientamento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191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DE020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Progetti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Pr="00191268" w:rsidRDefault="00DF66B0" w:rsidP="0091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1268">
              <w:rPr>
                <w:rFonts w:ascii="Times New Roman" w:hAnsi="Times New Roman"/>
                <w:b/>
                <w:color w:val="000000"/>
              </w:rPr>
              <w:t xml:space="preserve">€ </w:t>
            </w:r>
            <w:r w:rsidR="00DE0202">
              <w:rPr>
                <w:rFonts w:ascii="Times New Roman" w:hAnsi="Times New Roman"/>
                <w:b/>
                <w:color w:val="000000"/>
              </w:rPr>
              <w:t>267.066,39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P01-Progetti in ambito "Scientifico, tecnico e professionale"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7D5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DE0202">
              <w:rPr>
                <w:rFonts w:ascii="Times New Roman" w:hAnsi="Times New Roman"/>
                <w:color w:val="000000"/>
              </w:rPr>
              <w:t>1.113,43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P02-Progetti in ambito "Umanistico e sociale"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DE0202">
              <w:rPr>
                <w:rFonts w:ascii="Times New Roman" w:hAnsi="Times New Roman"/>
                <w:color w:val="000000"/>
              </w:rPr>
              <w:t>253.037,43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P03-Progetti per "Certificazioni e corsi professionali"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DE0202">
              <w:rPr>
                <w:rFonts w:ascii="Times New Roman" w:hAnsi="Times New Roman"/>
                <w:color w:val="000000"/>
              </w:rPr>
              <w:t>5.360,00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P04-Progetti per "Formazione / aggiornamento personale"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 w:rsidP="00191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DE0202">
              <w:rPr>
                <w:rFonts w:ascii="Times New Roman" w:hAnsi="Times New Roman"/>
                <w:color w:val="000000"/>
              </w:rPr>
              <w:t>7.555,53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P05-Progetti per "Gare e concorsi"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Gestioni economiche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Pr="00191268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1268">
              <w:rPr>
                <w:rFonts w:ascii="Times New Roman" w:hAnsi="Times New Roman"/>
                <w:b/>
                <w:color w:val="000000"/>
              </w:rPr>
              <w:t>€ 0,00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G01-Azienda agraria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G02-Azienda speciale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G03-Attività per conto terzi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G04-Attività convittuale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R98-Fondo di Riserva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Pr="00191268" w:rsidRDefault="00DF66B0" w:rsidP="00191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1268">
              <w:rPr>
                <w:rFonts w:ascii="Times New Roman" w:hAnsi="Times New Roman"/>
                <w:b/>
                <w:color w:val="000000"/>
              </w:rPr>
              <w:t xml:space="preserve">€ </w:t>
            </w:r>
            <w:r w:rsidR="00DE0202">
              <w:rPr>
                <w:rFonts w:ascii="Times New Roman" w:hAnsi="Times New Roman"/>
                <w:b/>
                <w:color w:val="000000"/>
              </w:rPr>
              <w:t>2.108,70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D100-Disavanzo di amministrazione presunto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TOTALE SPESE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Pr="00191268" w:rsidRDefault="00DF66B0" w:rsidP="0091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1268">
              <w:rPr>
                <w:rFonts w:ascii="Times New Roman" w:hAnsi="Times New Roman"/>
                <w:b/>
                <w:color w:val="000000"/>
              </w:rPr>
              <w:t xml:space="preserve">€ </w:t>
            </w:r>
            <w:r w:rsidR="00DE0202">
              <w:rPr>
                <w:rFonts w:ascii="Times New Roman" w:hAnsi="Times New Roman"/>
                <w:b/>
                <w:color w:val="000000"/>
              </w:rPr>
              <w:t>377.909,57</w:t>
            </w:r>
          </w:p>
        </w:tc>
      </w:tr>
      <w:tr w:rsidR="00DF66B0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Z101-Disponibilità finanziaria da programmare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191268" w:rsidTr="00191268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91268" w:rsidRDefault="00191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TOTALE A PAREGGIO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91268" w:rsidRPr="00191268" w:rsidRDefault="00191268" w:rsidP="007D5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191268">
              <w:rPr>
                <w:rFonts w:ascii="Times New Roman" w:hAnsi="Times New Roman"/>
                <w:b/>
                <w:color w:val="000000"/>
              </w:rPr>
              <w:t xml:space="preserve">€ </w:t>
            </w:r>
            <w:r w:rsidR="00DE0202">
              <w:rPr>
                <w:rFonts w:ascii="Times New Roman" w:hAnsi="Times New Roman"/>
                <w:b/>
                <w:color w:val="000000"/>
              </w:rPr>
              <w:t>377.909,57</w:t>
            </w:r>
          </w:p>
        </w:tc>
      </w:tr>
    </w:tbl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Verifica Situazione Amministrativa Presunta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Il programma annuale espone un avanzo/disavanzo di amministrazione presunto di Euro</w:t>
      </w:r>
      <w:r w:rsidR="002372F3">
        <w:rPr>
          <w:rFonts w:ascii="Times New Roman" w:hAnsi="Times New Roman"/>
          <w:color w:val="000000"/>
        </w:rPr>
        <w:t xml:space="preserve"> 356.822,54</w:t>
      </w:r>
      <w:r>
        <w:rPr>
          <w:rFonts w:ascii="Times New Roman" w:hAnsi="Times New Roman"/>
          <w:color w:val="000000"/>
        </w:rPr>
        <w:t>, come riportato nel Mod. C.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Utilizzo avanzo di amministrazione presunto (Mod. D)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L'avanzo di amministrazione presunto risulta così assegnato ai vari aggregati di spesa e progetti come riportato nel modello D: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37"/>
        <w:gridCol w:w="2118"/>
        <w:gridCol w:w="2118"/>
        <w:gridCol w:w="2118"/>
      </w:tblGrid>
      <w:tr w:rsidR="00DF66B0" w:rsidTr="002750C9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UTILIZZO AVANZO AMMINISTRAZIONE PRESUNTO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TOTALE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IMPORTO</w:t>
            </w:r>
          </w:p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VINCOLATO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IMPORTO</w:t>
            </w:r>
          </w:p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NON VINCOLATO</w:t>
            </w:r>
          </w:p>
        </w:tc>
      </w:tr>
      <w:tr w:rsidR="00DF45D9" w:rsidTr="00976815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Attività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Pr="00DF45D9" w:rsidRDefault="00DF45D9" w:rsidP="007D5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F45D9">
              <w:rPr>
                <w:rFonts w:ascii="Times New Roman" w:hAnsi="Times New Roman"/>
                <w:b/>
                <w:color w:val="000000"/>
              </w:rPr>
              <w:t xml:space="preserve">€ </w:t>
            </w:r>
            <w:r w:rsidR="002372F3">
              <w:rPr>
                <w:rFonts w:ascii="Times New Roman" w:hAnsi="Times New Roman"/>
                <w:b/>
                <w:color w:val="000000"/>
              </w:rPr>
              <w:t>92.756,15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Pr="00DF45D9" w:rsidRDefault="00DF45D9" w:rsidP="007D5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F45D9">
              <w:rPr>
                <w:rFonts w:ascii="Times New Roman" w:hAnsi="Times New Roman"/>
                <w:b/>
                <w:color w:val="000000"/>
              </w:rPr>
              <w:t>€ 9</w:t>
            </w:r>
            <w:r w:rsidR="002372F3">
              <w:rPr>
                <w:rFonts w:ascii="Times New Roman" w:hAnsi="Times New Roman"/>
                <w:b/>
                <w:color w:val="000000"/>
              </w:rPr>
              <w:t>2.756,15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P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F45D9">
              <w:rPr>
                <w:rFonts w:ascii="Times New Roman" w:hAnsi="Times New Roman"/>
                <w:b/>
                <w:color w:val="000000"/>
              </w:rPr>
              <w:t>€ 0,00</w:t>
            </w:r>
          </w:p>
        </w:tc>
      </w:tr>
      <w:tr w:rsidR="00DF45D9" w:rsidTr="00976815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A01-Funzionamento generale e decoro della Scuola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191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2372F3">
              <w:rPr>
                <w:rFonts w:ascii="Times New Roman" w:hAnsi="Times New Roman"/>
                <w:color w:val="000000"/>
              </w:rPr>
              <w:t>3.254,66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29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2372F3">
              <w:rPr>
                <w:rFonts w:ascii="Times New Roman" w:hAnsi="Times New Roman"/>
                <w:color w:val="000000"/>
              </w:rPr>
              <w:t>3.254,66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45D9" w:rsidTr="00976815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A02-Funzionamento amministrativo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191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2372F3">
              <w:rPr>
                <w:rFonts w:ascii="Times New Roman" w:hAnsi="Times New Roman"/>
                <w:color w:val="000000"/>
              </w:rPr>
              <w:t>46.491,45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29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2372F3">
              <w:rPr>
                <w:rFonts w:ascii="Times New Roman" w:hAnsi="Times New Roman"/>
                <w:color w:val="000000"/>
              </w:rPr>
              <w:t>46.491,45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45D9" w:rsidTr="00976815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A03-Didattica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7D5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2372F3">
              <w:rPr>
                <w:rFonts w:ascii="Times New Roman" w:hAnsi="Times New Roman"/>
                <w:color w:val="000000"/>
              </w:rPr>
              <w:t>16.320,24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7D5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2372F3">
              <w:rPr>
                <w:rFonts w:ascii="Times New Roman" w:hAnsi="Times New Roman"/>
                <w:color w:val="000000"/>
              </w:rPr>
              <w:t>16.320,24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45D9" w:rsidTr="00976815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A04-Alternanza Scuola-Lavoro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29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45D9" w:rsidTr="00976815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A05-Visite, viaggi e programmi di studio all’estero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2372F3">
              <w:rPr>
                <w:rFonts w:ascii="Times New Roman" w:hAnsi="Times New Roman"/>
                <w:color w:val="000000"/>
              </w:rPr>
              <w:t>26.689,80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29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€ 2</w:t>
            </w:r>
            <w:r w:rsidR="002372F3">
              <w:rPr>
                <w:rFonts w:ascii="Times New Roman" w:hAnsi="Times New Roman"/>
                <w:color w:val="000000"/>
              </w:rPr>
              <w:t>6.689,80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45D9" w:rsidTr="00976815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A06-Attività di orientamento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191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</w:t>
            </w:r>
            <w:r w:rsidR="002372F3">
              <w:rPr>
                <w:rFonts w:ascii="Times New Roman" w:hAnsi="Times New Roman"/>
                <w:color w:val="000000"/>
              </w:rPr>
              <w:t xml:space="preserve"> 0,00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29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2372F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45D9" w:rsidTr="00976815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Progetti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Pr="00DF45D9" w:rsidRDefault="00DF45D9" w:rsidP="00191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F45D9">
              <w:rPr>
                <w:rFonts w:ascii="Times New Roman" w:hAnsi="Times New Roman"/>
                <w:b/>
                <w:color w:val="000000"/>
              </w:rPr>
              <w:t xml:space="preserve">€ </w:t>
            </w:r>
            <w:r w:rsidR="002372F3">
              <w:rPr>
                <w:rFonts w:ascii="Times New Roman" w:hAnsi="Times New Roman"/>
                <w:b/>
                <w:color w:val="000000"/>
              </w:rPr>
              <w:t>264.066,39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Pr="00DF45D9" w:rsidRDefault="00DF45D9" w:rsidP="0029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F45D9">
              <w:rPr>
                <w:rFonts w:ascii="Times New Roman" w:hAnsi="Times New Roman"/>
                <w:b/>
                <w:color w:val="000000"/>
              </w:rPr>
              <w:t xml:space="preserve">€ </w:t>
            </w:r>
            <w:r w:rsidR="002372F3">
              <w:rPr>
                <w:rFonts w:ascii="Times New Roman" w:hAnsi="Times New Roman"/>
                <w:b/>
                <w:color w:val="000000"/>
              </w:rPr>
              <w:t>264.066,39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P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F45D9">
              <w:rPr>
                <w:rFonts w:ascii="Times New Roman" w:hAnsi="Times New Roman"/>
                <w:b/>
                <w:color w:val="000000"/>
              </w:rPr>
              <w:t>€ 0,00</w:t>
            </w:r>
          </w:p>
        </w:tc>
      </w:tr>
      <w:tr w:rsidR="00DF45D9" w:rsidTr="00976815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P01-Progetti in ambito "Scientifico, tecnico e professionale"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191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2372F3">
              <w:rPr>
                <w:rFonts w:ascii="Times New Roman" w:hAnsi="Times New Roman"/>
                <w:color w:val="000000"/>
              </w:rPr>
              <w:t>1.113,43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29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2372F3">
              <w:rPr>
                <w:rFonts w:ascii="Times New Roman" w:hAnsi="Times New Roman"/>
                <w:color w:val="000000"/>
              </w:rPr>
              <w:t>1.113,43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45D9" w:rsidTr="00976815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P02-Progetti in ambito "Umanistico e sociale"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29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2372F3">
              <w:rPr>
                <w:rFonts w:ascii="Times New Roman" w:hAnsi="Times New Roman"/>
                <w:color w:val="000000"/>
              </w:rPr>
              <w:t>253.037,43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29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2372F3">
              <w:rPr>
                <w:rFonts w:ascii="Times New Roman" w:hAnsi="Times New Roman"/>
                <w:color w:val="000000"/>
              </w:rPr>
              <w:t>253.037,43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45D9" w:rsidTr="00976815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P03-Progetti per "Certificazioni e corsi professionali"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FF5023">
              <w:rPr>
                <w:rFonts w:ascii="Times New Roman" w:hAnsi="Times New Roman"/>
                <w:color w:val="000000"/>
              </w:rPr>
              <w:t>5.360,00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29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€ </w:t>
            </w:r>
            <w:r w:rsidR="00FF5023">
              <w:rPr>
                <w:rFonts w:ascii="Times New Roman" w:hAnsi="Times New Roman"/>
                <w:color w:val="000000"/>
              </w:rPr>
              <w:t>5.360,00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45D9" w:rsidTr="00976815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P04-Progetti per "Formazione / aggiornamento personale"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191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€ 4.5</w:t>
            </w:r>
            <w:r w:rsidR="00FF5023">
              <w:rPr>
                <w:rFonts w:ascii="Times New Roman" w:hAnsi="Times New Roman"/>
                <w:color w:val="000000"/>
              </w:rPr>
              <w:t>55,53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29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€ 4.5</w:t>
            </w:r>
            <w:r w:rsidR="00FF5023">
              <w:rPr>
                <w:rFonts w:ascii="Times New Roman" w:hAnsi="Times New Roman"/>
                <w:color w:val="000000"/>
              </w:rPr>
              <w:t>55,53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DF45D9" w:rsidTr="00976815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P05-Progetti per "Gare e concorsi"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29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45D9" w:rsidRDefault="00DF45D9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5062E8" w:rsidTr="002750C9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Gestioni economiche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Pr="00DF45D9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F45D9">
              <w:rPr>
                <w:rFonts w:ascii="Times New Roman" w:hAnsi="Times New Roman"/>
                <w:b/>
                <w:color w:val="000000"/>
              </w:rPr>
              <w:t>€ 0,00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Pr="00DF45D9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F45D9">
              <w:rPr>
                <w:rFonts w:ascii="Times New Roman" w:hAnsi="Times New Roman"/>
                <w:b/>
                <w:color w:val="000000"/>
              </w:rPr>
              <w:t>€ 0,00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Pr="00DF45D9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F45D9">
              <w:rPr>
                <w:rFonts w:ascii="Times New Roman" w:hAnsi="Times New Roman"/>
                <w:b/>
                <w:color w:val="000000"/>
              </w:rPr>
              <w:t>€ 0,00</w:t>
            </w:r>
          </w:p>
        </w:tc>
      </w:tr>
      <w:tr w:rsidR="005062E8" w:rsidTr="002750C9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G01-Azienda agraria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5062E8" w:rsidTr="002750C9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G02-Azienda speciale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5062E8" w:rsidTr="002750C9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G03-Attività per conto terzi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5062E8" w:rsidTr="002750C9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G04-Attività convittuale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5062E8" w:rsidTr="002750C9">
        <w:trPr>
          <w:jc w:val="center"/>
        </w:trPr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TOTALE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Pr="00DF45D9" w:rsidRDefault="005062E8" w:rsidP="007D5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F45D9">
              <w:rPr>
                <w:rFonts w:ascii="Times New Roman" w:hAnsi="Times New Roman"/>
                <w:b/>
                <w:color w:val="000000"/>
              </w:rPr>
              <w:t xml:space="preserve">€ </w:t>
            </w:r>
            <w:r w:rsidR="00FF5023">
              <w:rPr>
                <w:rFonts w:ascii="Times New Roman" w:hAnsi="Times New Roman"/>
                <w:b/>
                <w:color w:val="000000"/>
              </w:rPr>
              <w:t>356.822,54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Pr="00DF45D9" w:rsidRDefault="00DF45D9" w:rsidP="007D5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F45D9">
              <w:rPr>
                <w:rFonts w:ascii="Times New Roman" w:hAnsi="Times New Roman"/>
                <w:b/>
                <w:color w:val="000000"/>
              </w:rPr>
              <w:t xml:space="preserve">€ </w:t>
            </w:r>
            <w:r w:rsidR="00FF5023">
              <w:rPr>
                <w:rFonts w:ascii="Times New Roman" w:hAnsi="Times New Roman"/>
                <w:b/>
                <w:color w:val="000000"/>
              </w:rPr>
              <w:t>356.822,54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062E8" w:rsidRPr="00DF45D9" w:rsidRDefault="005062E8" w:rsidP="00506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F45D9">
              <w:rPr>
                <w:rFonts w:ascii="Times New Roman" w:hAnsi="Times New Roman"/>
                <w:b/>
                <w:color w:val="000000"/>
              </w:rPr>
              <w:t>€ 0,00</w:t>
            </w:r>
          </w:p>
        </w:tc>
      </w:tr>
    </w:tbl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 fa presente che, come previsto dall'art.7 del Regolamento, detti stanziamenti possono essere impegnati solamente dopo la realizzazione dell'effettiva disponibilità finanziaria e nei limiti dell'avanzo effettivamente realizzato.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(Accertamenti negativi)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DF66B0" w:rsidRDefault="00DF66B0">
      <w:pPr>
        <w:widowControl w:val="0"/>
        <w:numPr>
          <w:ilvl w:val="0"/>
          <w:numId w:val="4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Non risultano osservate le norme regolamentari</w:t>
      </w:r>
    </w:p>
    <w:p w:rsidR="00DF66B0" w:rsidRDefault="00DF66B0">
      <w:pPr>
        <w:widowControl w:val="0"/>
        <w:numPr>
          <w:ilvl w:val="0"/>
          <w:numId w:val="4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La relazione illustrativa predisposta dal dirigente scolastico è carente nei contenuti richiesti dall'art. 5, comma 7, del regolamento</w:t>
      </w:r>
    </w:p>
    <w:p w:rsidR="00DF66B0" w:rsidRDefault="00DF66B0">
      <w:pPr>
        <w:widowControl w:val="0"/>
        <w:numPr>
          <w:ilvl w:val="0"/>
          <w:numId w:val="4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lastRenderedPageBreak/>
        <w:t xml:space="preserve">  Sono presenti inesattezze nei modelli del Programma Annuale</w:t>
      </w:r>
    </w:p>
    <w:p w:rsidR="00DF66B0" w:rsidRDefault="00DF66B0">
      <w:pPr>
        <w:widowControl w:val="0"/>
        <w:numPr>
          <w:ilvl w:val="0"/>
          <w:numId w:val="4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Il Programma Annuale non è conforme ai principi di bilancio di cui all'art. 2 del regolamento</w:t>
      </w:r>
    </w:p>
    <w:p w:rsidR="00DF66B0" w:rsidRDefault="00DF66B0">
      <w:pPr>
        <w:widowControl w:val="0"/>
        <w:numPr>
          <w:ilvl w:val="0"/>
          <w:numId w:val="4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L'avanzo d'amministrazione non è correttamente stimato</w:t>
      </w:r>
    </w:p>
    <w:p w:rsidR="00DF66B0" w:rsidRDefault="00DF66B0">
      <w:pPr>
        <w:widowControl w:val="0"/>
        <w:numPr>
          <w:ilvl w:val="0"/>
          <w:numId w:val="4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Sono presenti incoerenze tra i dati previsionali di spesa del Mod. A e la somma dei dati delle schede finanziarie Mod. B</w:t>
      </w:r>
    </w:p>
    <w:p w:rsidR="00DF66B0" w:rsidRDefault="00DF66B0">
      <w:pPr>
        <w:widowControl w:val="0"/>
        <w:numPr>
          <w:ilvl w:val="0"/>
          <w:numId w:val="4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Non è presente pareggio Entrate/Spese per attività e progetti</w:t>
      </w:r>
    </w:p>
    <w:p w:rsidR="00DF66B0" w:rsidRDefault="00DF66B0">
      <w:pPr>
        <w:widowControl w:val="0"/>
        <w:numPr>
          <w:ilvl w:val="0"/>
          <w:numId w:val="4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Non è presente un'esatta determinazione del Fondo di riserva (art. 8, comma 1)</w:t>
      </w:r>
    </w:p>
    <w:p w:rsidR="00DF66B0" w:rsidRDefault="00DF66B0">
      <w:pPr>
        <w:widowControl w:val="0"/>
        <w:numPr>
          <w:ilvl w:val="0"/>
          <w:numId w:val="4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Sono presenti inattendibilità delle previsioni di entrata e/o incongruità degli stanziamenti di spesa</w:t>
      </w:r>
    </w:p>
    <w:p w:rsidR="00DF66B0" w:rsidRDefault="00DF66B0">
      <w:pPr>
        <w:widowControl w:val="0"/>
        <w:numPr>
          <w:ilvl w:val="0"/>
          <w:numId w:val="4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Il PTOF non è stato approvato</w:t>
      </w:r>
    </w:p>
    <w:p w:rsidR="00DF66B0" w:rsidRDefault="00DF66B0">
      <w:pPr>
        <w:widowControl w:val="0"/>
        <w:numPr>
          <w:ilvl w:val="0"/>
          <w:numId w:val="4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Non risulta corretta la procedura di costituzione del Fondo economale per le minute spese, ai sensi dell'art. 21, commi 1 e 2</w:t>
      </w:r>
    </w:p>
    <w:p w:rsidR="00DF66B0" w:rsidRDefault="00DF66B0">
      <w:pPr>
        <w:widowControl w:val="0"/>
        <w:numPr>
          <w:ilvl w:val="0"/>
          <w:numId w:val="4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Non è stato rispettato il vincolo di destinazione delle somme vincolate confluite nell'avanzo di amministrazione presunto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(Accertamenti positivi)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DF66B0" w:rsidRDefault="00DF66B0">
      <w:pPr>
        <w:widowControl w:val="0"/>
        <w:numPr>
          <w:ilvl w:val="0"/>
          <w:numId w:val="5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Risultano osservate le norme regolamentari</w:t>
      </w:r>
    </w:p>
    <w:p w:rsidR="00DF66B0" w:rsidRDefault="00DF66B0">
      <w:pPr>
        <w:widowControl w:val="0"/>
        <w:numPr>
          <w:ilvl w:val="0"/>
          <w:numId w:val="5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La relazione illustrativa predisposta dal dirigente scolastico è esaustiva nei contenuti richiesti dall'art. 5, comma 7, del regolamento</w:t>
      </w:r>
    </w:p>
    <w:p w:rsidR="00DF66B0" w:rsidRDefault="00DF66B0">
      <w:pPr>
        <w:widowControl w:val="0"/>
        <w:numPr>
          <w:ilvl w:val="0"/>
          <w:numId w:val="5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Non sono presenti inesattezze nei modelli del Programma Annuale</w:t>
      </w:r>
    </w:p>
    <w:p w:rsidR="00DF66B0" w:rsidRDefault="00DF66B0">
      <w:pPr>
        <w:widowControl w:val="0"/>
        <w:numPr>
          <w:ilvl w:val="0"/>
          <w:numId w:val="5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Il Programma Annuale è conforme ai principi di bilancio di cui all'art. 2 del regolamento</w:t>
      </w:r>
    </w:p>
    <w:p w:rsidR="00DF66B0" w:rsidRDefault="00DF66B0">
      <w:pPr>
        <w:widowControl w:val="0"/>
        <w:numPr>
          <w:ilvl w:val="0"/>
          <w:numId w:val="5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L'avanzo d'amministrazione è correttamente stimato</w:t>
      </w:r>
    </w:p>
    <w:p w:rsidR="00DF66B0" w:rsidRDefault="00DF66B0">
      <w:pPr>
        <w:widowControl w:val="0"/>
        <w:numPr>
          <w:ilvl w:val="0"/>
          <w:numId w:val="5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Non sono presenti incoerenze tra i dati previsionali di spesa del Mod. A e la somma dei dati delle schede finanziarie Mod. B</w:t>
      </w:r>
    </w:p>
    <w:p w:rsidR="00DF66B0" w:rsidRDefault="00DF66B0">
      <w:pPr>
        <w:widowControl w:val="0"/>
        <w:numPr>
          <w:ilvl w:val="0"/>
          <w:numId w:val="5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</w:t>
      </w:r>
      <w:proofErr w:type="gramStart"/>
      <w:r>
        <w:rPr>
          <w:rFonts w:ascii="Times New Roman" w:hAnsi="Times New Roman"/>
          <w:i/>
          <w:iCs/>
          <w:color w:val="000000"/>
          <w:sz w:val="20"/>
          <w:szCs w:val="20"/>
        </w:rPr>
        <w:t>E'</w:t>
      </w:r>
      <w:proofErr w:type="gramEnd"/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presente pareggio Entrate/Spese per attività e progetti</w:t>
      </w:r>
    </w:p>
    <w:p w:rsidR="00DF66B0" w:rsidRDefault="00DF66B0">
      <w:pPr>
        <w:widowControl w:val="0"/>
        <w:numPr>
          <w:ilvl w:val="0"/>
          <w:numId w:val="5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</w:t>
      </w:r>
      <w:proofErr w:type="gramStart"/>
      <w:r>
        <w:rPr>
          <w:rFonts w:ascii="Times New Roman" w:hAnsi="Times New Roman"/>
          <w:i/>
          <w:iCs/>
          <w:color w:val="000000"/>
          <w:sz w:val="20"/>
          <w:szCs w:val="20"/>
        </w:rPr>
        <w:t>E'</w:t>
      </w:r>
      <w:proofErr w:type="gramEnd"/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presente un'esatta determinazione del Fondo di riserva (art. 8, comma 1)</w:t>
      </w:r>
    </w:p>
    <w:p w:rsidR="00DF66B0" w:rsidRDefault="00DF66B0">
      <w:pPr>
        <w:widowControl w:val="0"/>
        <w:numPr>
          <w:ilvl w:val="0"/>
          <w:numId w:val="5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Non sono presenti inattendibilità delle previsioni di entrata e/o incongruità degli stanziamenti di spesa</w:t>
      </w:r>
    </w:p>
    <w:p w:rsidR="00DF66B0" w:rsidRDefault="00DF66B0">
      <w:pPr>
        <w:widowControl w:val="0"/>
        <w:numPr>
          <w:ilvl w:val="0"/>
          <w:numId w:val="5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Il PTOF è stato approvato</w:t>
      </w:r>
    </w:p>
    <w:p w:rsidR="00DF66B0" w:rsidRDefault="00DF66B0">
      <w:pPr>
        <w:widowControl w:val="0"/>
        <w:numPr>
          <w:ilvl w:val="0"/>
          <w:numId w:val="5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Risulta corretta la procedura di costituzione del Fondo economale per le minute spese, ai sensi dell'art. 21, commi 1 e 2</w:t>
      </w:r>
    </w:p>
    <w:p w:rsidR="00DF66B0" w:rsidRDefault="00DF66B0">
      <w:pPr>
        <w:widowControl w:val="0"/>
        <w:numPr>
          <w:ilvl w:val="0"/>
          <w:numId w:val="5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</w:t>
      </w:r>
      <w:proofErr w:type="gramStart"/>
      <w:r>
        <w:rPr>
          <w:rFonts w:ascii="Times New Roman" w:hAnsi="Times New Roman"/>
          <w:i/>
          <w:iCs/>
          <w:color w:val="000000"/>
          <w:sz w:val="20"/>
          <w:szCs w:val="20"/>
        </w:rPr>
        <w:t>E'</w:t>
      </w:r>
      <w:proofErr w:type="gramEnd"/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stato rispettato il vincolo di destinazione delle somme vincolate confluite nell'avanzo di amministrazione presunto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Conclusioni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 Revisori dei conti, prendendo atto del contenuto dell'apposita relazione predisposta dal Dirigente scolastico con riferimento agli obiettivi che l'istituzione scolastica intende realizzare nell'anno</w:t>
      </w:r>
      <w:r w:rsidR="008B662C">
        <w:rPr>
          <w:rFonts w:ascii="Times New Roman" w:hAnsi="Times New Roman"/>
          <w:color w:val="000000"/>
        </w:rPr>
        <w:t xml:space="preserve"> 2023</w:t>
      </w:r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nonchè</w:t>
      </w:r>
      <w:proofErr w:type="spellEnd"/>
      <w:r>
        <w:rPr>
          <w:rFonts w:ascii="Times New Roman" w:hAnsi="Times New Roman"/>
          <w:color w:val="000000"/>
        </w:rPr>
        <w:t xml:space="preserve"> della documentazione esaminata, ritengono di poter esprimere parere favorevole di regolarità contabile sul Programma Annuale</w:t>
      </w:r>
      <w:r w:rsidR="008B662C">
        <w:rPr>
          <w:rFonts w:ascii="Times New Roman" w:hAnsi="Times New Roman"/>
          <w:color w:val="000000"/>
        </w:rPr>
        <w:t xml:space="preserve"> 2023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oppure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I Revisori dei conti, in relazione a quanto sopra esposto, ritengono di non poter esprimere parere favorevole di regolarità contabile sul Programma Annuale </w:t>
      </w:r>
      <w:r w:rsidR="008B662C">
        <w:rPr>
          <w:rFonts w:ascii="Times New Roman" w:hAnsi="Times New Roman"/>
          <w:color w:val="000000"/>
        </w:rPr>
        <w:t>2023</w:t>
      </w:r>
    </w:p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Il presente verbale, chiuso alle ore ......................., l'anno ......... il giorno ......... del mese di ........., viene letto, confermato, sottoscritto e successivamente inserito nell'apposito registro.</w:t>
      </w:r>
    </w:p>
    <w:tbl>
      <w:tblPr>
        <w:tblW w:w="9520" w:type="dxa"/>
        <w:tblInd w:w="3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0" w:type="dxa"/>
          <w:right w:w="300" w:type="dxa"/>
        </w:tblCellMar>
        <w:tblLook w:val="0000" w:firstRow="0" w:lastRow="0" w:firstColumn="0" w:lastColumn="0" w:noHBand="0" w:noVBand="0"/>
      </w:tblPr>
      <w:tblGrid>
        <w:gridCol w:w="6664"/>
        <w:gridCol w:w="2856"/>
      </w:tblGrid>
      <w:tr w:rsidR="00DF66B0"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...................................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F66B0"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...................................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DF66B0" w:rsidRDefault="00DF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DF66B0" w:rsidRDefault="00DF6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sectPr w:rsidR="00DF66B0" w:rsidSect="005B1AA4">
      <w:headerReference w:type="default" r:id="rId9"/>
      <w:footerReference w:type="default" r:id="rId10"/>
      <w:pgSz w:w="11907" w:h="16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1BC4" w:rsidRDefault="00271BC4">
      <w:pPr>
        <w:spacing w:after="0" w:line="240" w:lineRule="auto"/>
      </w:pPr>
      <w:r>
        <w:separator/>
      </w:r>
    </w:p>
  </w:endnote>
  <w:endnote w:type="continuationSeparator" w:id="0">
    <w:p w:rsidR="00271BC4" w:rsidRDefault="00271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91268" w:rsidRDefault="00191268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color w:val="000000"/>
        <w:sz w:val="20"/>
        <w:szCs w:val="20"/>
      </w:rPr>
    </w:pPr>
    <w:r>
      <w:rPr>
        <w:rFonts w:ascii="Times New Roman" w:hAnsi="Times New Roman"/>
        <w:i/>
        <w:iCs/>
        <w:color w:val="000000"/>
        <w:sz w:val="20"/>
        <w:szCs w:val="20"/>
      </w:rPr>
      <w:t xml:space="preserve">Pagina: </w:t>
    </w:r>
    <w:r>
      <w:rPr>
        <w:rFonts w:ascii="Times New Roman" w:hAnsi="Times New Roman"/>
        <w:i/>
        <w:iCs/>
        <w:color w:val="000000"/>
        <w:sz w:val="20"/>
        <w:szCs w:val="20"/>
      </w:rPr>
      <w:fldChar w:fldCharType="begin"/>
    </w:r>
    <w:r>
      <w:rPr>
        <w:rFonts w:ascii="Times New Roman" w:hAnsi="Times New Roman"/>
        <w:i/>
        <w:iCs/>
        <w:color w:val="000000"/>
        <w:sz w:val="20"/>
        <w:szCs w:val="20"/>
      </w:rPr>
      <w:instrText xml:space="preserve">PAGE </w:instrText>
    </w:r>
    <w:r>
      <w:rPr>
        <w:rFonts w:ascii="Times New Roman" w:hAnsi="Times New Roman"/>
        <w:i/>
        <w:iCs/>
        <w:color w:val="000000"/>
        <w:sz w:val="20"/>
        <w:szCs w:val="20"/>
      </w:rPr>
      <w:fldChar w:fldCharType="separate"/>
    </w:r>
    <w:r w:rsidR="00916463">
      <w:rPr>
        <w:rFonts w:ascii="Times New Roman" w:hAnsi="Times New Roman"/>
        <w:i/>
        <w:iCs/>
        <w:noProof/>
        <w:color w:val="000000"/>
        <w:sz w:val="20"/>
        <w:szCs w:val="20"/>
      </w:rPr>
      <w:t>3</w:t>
    </w:r>
    <w:r>
      <w:rPr>
        <w:rFonts w:ascii="Times New Roman" w:hAnsi="Times New Roman"/>
        <w:i/>
        <w:iCs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1BC4" w:rsidRDefault="00271BC4">
      <w:pPr>
        <w:spacing w:after="0" w:line="240" w:lineRule="auto"/>
      </w:pPr>
      <w:r>
        <w:separator/>
      </w:r>
    </w:p>
  </w:footnote>
  <w:footnote w:type="continuationSeparator" w:id="0">
    <w:p w:rsidR="00271BC4" w:rsidRDefault="00271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91268" w:rsidRDefault="00191268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09690"/>
    <w:multiLevelType w:val="multilevel"/>
    <w:tmpl w:val="35F09F66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A492D34"/>
    <w:multiLevelType w:val="multilevel"/>
    <w:tmpl w:val="50028A62"/>
    <w:lvl w:ilvl="0">
      <w:start w:val="1"/>
      <w:numFmt w:val="bullet"/>
      <w:lvlText w:val=""/>
      <w:lvlJc w:val="left"/>
      <w:pPr>
        <w:tabs>
          <w:tab w:val="left" w:pos="200"/>
        </w:tabs>
        <w:ind w:left="2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1444EFF"/>
    <w:multiLevelType w:val="multilevel"/>
    <w:tmpl w:val="723FE5E9"/>
    <w:lvl w:ilvl="0">
      <w:start w:val="1"/>
      <w:numFmt w:val="bullet"/>
      <w:lvlText w:val=""/>
      <w:lvlJc w:val="left"/>
      <w:pPr>
        <w:tabs>
          <w:tab w:val="left" w:pos="200"/>
        </w:tabs>
        <w:ind w:left="2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6CF2ACD"/>
    <w:multiLevelType w:val="multilevel"/>
    <w:tmpl w:val="18FF2A25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5D54B769"/>
    <w:multiLevelType w:val="multilevel"/>
    <w:tmpl w:val="509BF21E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416946233">
    <w:abstractNumId w:val="0"/>
  </w:num>
  <w:num w:numId="2" w16cid:durableId="1072704064">
    <w:abstractNumId w:val="4"/>
  </w:num>
  <w:num w:numId="3" w16cid:durableId="534390624">
    <w:abstractNumId w:val="3"/>
  </w:num>
  <w:num w:numId="4" w16cid:durableId="989551793">
    <w:abstractNumId w:val="2"/>
  </w:num>
  <w:num w:numId="5" w16cid:durableId="1321038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07DE"/>
    <w:rsid w:val="000063A2"/>
    <w:rsid w:val="00191268"/>
    <w:rsid w:val="001B6DF6"/>
    <w:rsid w:val="001E619B"/>
    <w:rsid w:val="002372F3"/>
    <w:rsid w:val="002460EF"/>
    <w:rsid w:val="00255E14"/>
    <w:rsid w:val="00271BC4"/>
    <w:rsid w:val="002750C9"/>
    <w:rsid w:val="00373A5D"/>
    <w:rsid w:val="004945B8"/>
    <w:rsid w:val="005062E8"/>
    <w:rsid w:val="005B1AA4"/>
    <w:rsid w:val="005E6B40"/>
    <w:rsid w:val="006730D8"/>
    <w:rsid w:val="00750585"/>
    <w:rsid w:val="007D53F8"/>
    <w:rsid w:val="007E7BE2"/>
    <w:rsid w:val="007F3F48"/>
    <w:rsid w:val="008B662C"/>
    <w:rsid w:val="00916463"/>
    <w:rsid w:val="009B48E9"/>
    <w:rsid w:val="00A65943"/>
    <w:rsid w:val="00A807DE"/>
    <w:rsid w:val="00AB7B5C"/>
    <w:rsid w:val="00AC309D"/>
    <w:rsid w:val="00BD7166"/>
    <w:rsid w:val="00C44347"/>
    <w:rsid w:val="00C925E2"/>
    <w:rsid w:val="00C9760B"/>
    <w:rsid w:val="00D20ACA"/>
    <w:rsid w:val="00DE0202"/>
    <w:rsid w:val="00DF45D9"/>
    <w:rsid w:val="00DF66B0"/>
    <w:rsid w:val="00F36599"/>
    <w:rsid w:val="00FF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F50539"/>
  <w15:docId w15:val="{04747F29-FB21-4D87-A624-B8BE39504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1A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B48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48E9"/>
  </w:style>
  <w:style w:type="paragraph" w:styleId="Pidipagina">
    <w:name w:val="footer"/>
    <w:basedOn w:val="Normale"/>
    <w:link w:val="PidipaginaCarattere"/>
    <w:uiPriority w:val="99"/>
    <w:unhideWhenUsed/>
    <w:rsid w:val="009B48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4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69D8B2607A7B4685959FFD10CE1289" ma:contentTypeVersion="13" ma:contentTypeDescription="Creare un nuovo documento." ma:contentTypeScope="" ma:versionID="f1fd034f898445a87eab28ed8013a4db">
  <xsd:schema xmlns:xsd="http://www.w3.org/2001/XMLSchema" xmlns:xs="http://www.w3.org/2001/XMLSchema" xmlns:p="http://schemas.microsoft.com/office/2006/metadata/properties" xmlns:ns2="9414545e-df5b-4f25-babb-3775ae28c200" xmlns:ns3="173448da-9fdf-4a6d-b053-886c5b2fbba1" targetNamespace="http://schemas.microsoft.com/office/2006/metadata/properties" ma:root="true" ma:fieldsID="a2e409ad3e5a8301da7af616ae722316" ns2:_="" ns3:_="">
    <xsd:import namespace="9414545e-df5b-4f25-babb-3775ae28c200"/>
    <xsd:import namespace="173448da-9fdf-4a6d-b053-886c5b2fb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4545e-df5b-4f25-babb-3775ae28c2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448da-9fdf-4a6d-b053-886c5b2fbba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5748A8-A80F-4052-934B-DBE1C104D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14545e-df5b-4f25-babb-3775ae28c200"/>
    <ds:schemaRef ds:uri="173448da-9fdf-4a6d-b053-886c5b2fbb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A28750-D215-4BFE-8624-935BACE8B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1765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Kora</dc:creator>
  <cp:lastModifiedBy>Maurizio Dall'Olio</cp:lastModifiedBy>
  <cp:revision>15</cp:revision>
  <dcterms:created xsi:type="dcterms:W3CDTF">2023-01-15T08:48:00Z</dcterms:created>
  <dcterms:modified xsi:type="dcterms:W3CDTF">2023-01-27T10:44:00Z</dcterms:modified>
</cp:coreProperties>
</file>